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C6D0E" w14:textId="5194E9EE" w:rsidR="00536356" w:rsidRPr="00536356" w:rsidRDefault="00536356" w:rsidP="00165B89">
      <w:pPr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  <w:r w:rsidRPr="00536356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Checkliste: Dienstvereinbarung zur Einführung von IT-Systemen</w:t>
      </w:r>
      <w:r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br/>
      </w:r>
    </w:p>
    <w:tbl>
      <w:tblPr>
        <w:tblStyle w:val="Tabellenraster"/>
        <w:tblpPr w:leftFromText="141" w:rightFromText="141" w:vertAnchor="page" w:horzAnchor="margin" w:tblpY="2125"/>
        <w:tblW w:w="9209" w:type="dxa"/>
        <w:tblLayout w:type="fixed"/>
        <w:tblLook w:val="0000" w:firstRow="0" w:lastRow="0" w:firstColumn="0" w:lastColumn="0" w:noHBand="0" w:noVBand="0"/>
      </w:tblPr>
      <w:tblGrid>
        <w:gridCol w:w="7083"/>
        <w:gridCol w:w="992"/>
        <w:gridCol w:w="1134"/>
      </w:tblGrid>
      <w:tr w:rsidR="00536356" w:rsidRPr="00536356" w14:paraId="1785C528" w14:textId="77777777" w:rsidTr="00536356">
        <w:trPr>
          <w:trHeight w:val="308"/>
        </w:trPr>
        <w:tc>
          <w:tcPr>
            <w:tcW w:w="7083" w:type="dxa"/>
          </w:tcPr>
          <w:p w14:paraId="1A1EA9E7" w14:textId="77777777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36356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18"/>
                <w:szCs w:val="18"/>
              </w:rPr>
              <w:t>Prüfpunkte:</w:t>
            </w:r>
          </w:p>
        </w:tc>
        <w:tc>
          <w:tcPr>
            <w:tcW w:w="992" w:type="dxa"/>
          </w:tcPr>
          <w:p w14:paraId="2568C83B" w14:textId="77777777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36356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18"/>
                <w:szCs w:val="18"/>
              </w:rPr>
              <w:t>Ja</w:t>
            </w:r>
          </w:p>
        </w:tc>
        <w:tc>
          <w:tcPr>
            <w:tcW w:w="1134" w:type="dxa"/>
          </w:tcPr>
          <w:p w14:paraId="3FD63396" w14:textId="77777777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36356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18"/>
                <w:szCs w:val="18"/>
              </w:rPr>
              <w:t>Nein</w:t>
            </w:r>
          </w:p>
        </w:tc>
      </w:tr>
      <w:tr w:rsidR="00536356" w:rsidRPr="00536356" w14:paraId="1302A3CD" w14:textId="77777777" w:rsidTr="00536356">
        <w:trPr>
          <w:trHeight w:val="308"/>
        </w:trPr>
        <w:tc>
          <w:tcPr>
            <w:tcW w:w="7083" w:type="dxa"/>
          </w:tcPr>
          <w:p w14:paraId="01E943D6" w14:textId="77777777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36356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>Vertragsparteien benannt</w:t>
            </w:r>
          </w:p>
        </w:tc>
        <w:tc>
          <w:tcPr>
            <w:tcW w:w="992" w:type="dxa"/>
          </w:tcPr>
          <w:p w14:paraId="6CDC13F9" w14:textId="2D99803C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  <w:tc>
          <w:tcPr>
            <w:tcW w:w="1134" w:type="dxa"/>
          </w:tcPr>
          <w:p w14:paraId="51F7303E" w14:textId="7B1F22E8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</w:tr>
      <w:tr w:rsidR="00536356" w:rsidRPr="00536356" w14:paraId="76AE27A2" w14:textId="77777777" w:rsidTr="00536356">
        <w:trPr>
          <w:trHeight w:val="308"/>
        </w:trPr>
        <w:tc>
          <w:tcPr>
            <w:tcW w:w="7083" w:type="dxa"/>
          </w:tcPr>
          <w:p w14:paraId="6752AAD0" w14:textId="77777777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36356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>Ziel der Dienstvereinbarung in der Präambel definiert</w:t>
            </w:r>
          </w:p>
        </w:tc>
        <w:tc>
          <w:tcPr>
            <w:tcW w:w="992" w:type="dxa"/>
          </w:tcPr>
          <w:p w14:paraId="696FE85E" w14:textId="5EE100DD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  <w:tc>
          <w:tcPr>
            <w:tcW w:w="1134" w:type="dxa"/>
          </w:tcPr>
          <w:p w14:paraId="05325331" w14:textId="68B97B3E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</w:tr>
      <w:tr w:rsidR="00536356" w:rsidRPr="00536356" w14:paraId="01EE7545" w14:textId="77777777" w:rsidTr="00536356">
        <w:trPr>
          <w:trHeight w:val="308"/>
        </w:trPr>
        <w:tc>
          <w:tcPr>
            <w:tcW w:w="7083" w:type="dxa"/>
          </w:tcPr>
          <w:p w14:paraId="123371D5" w14:textId="77777777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36356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>Sachlichen, persönlichen und unter Umständen räumlichen Geltungsbereich geklärt</w:t>
            </w:r>
          </w:p>
        </w:tc>
        <w:tc>
          <w:tcPr>
            <w:tcW w:w="992" w:type="dxa"/>
          </w:tcPr>
          <w:p w14:paraId="5AA2B525" w14:textId="2F46AAE6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  <w:tc>
          <w:tcPr>
            <w:tcW w:w="1134" w:type="dxa"/>
          </w:tcPr>
          <w:p w14:paraId="2F0C3232" w14:textId="207B24F0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</w:tr>
      <w:tr w:rsidR="00536356" w:rsidRPr="00536356" w14:paraId="1F9E4C16" w14:textId="77777777" w:rsidTr="00536356">
        <w:trPr>
          <w:trHeight w:val="348"/>
        </w:trPr>
        <w:tc>
          <w:tcPr>
            <w:tcW w:w="7083" w:type="dxa"/>
          </w:tcPr>
          <w:p w14:paraId="34158806" w14:textId="77777777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36356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>Ziel und Zweck des Einsatzes des jeweiligen Systems benannt</w:t>
            </w:r>
          </w:p>
        </w:tc>
        <w:tc>
          <w:tcPr>
            <w:tcW w:w="992" w:type="dxa"/>
          </w:tcPr>
          <w:p w14:paraId="39100B40" w14:textId="7AF75591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  <w:tc>
          <w:tcPr>
            <w:tcW w:w="1134" w:type="dxa"/>
          </w:tcPr>
          <w:p w14:paraId="378C6227" w14:textId="2C0DBE82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</w:tr>
      <w:tr w:rsidR="00536356" w:rsidRPr="00536356" w14:paraId="590601B3" w14:textId="77777777" w:rsidTr="00536356">
        <w:trPr>
          <w:trHeight w:val="328"/>
        </w:trPr>
        <w:tc>
          <w:tcPr>
            <w:tcW w:w="7083" w:type="dxa"/>
          </w:tcPr>
          <w:p w14:paraId="16D99A46" w14:textId="77777777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36356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>Grundsätze der Datenverarbeitung dargestellt</w:t>
            </w:r>
          </w:p>
        </w:tc>
        <w:tc>
          <w:tcPr>
            <w:tcW w:w="992" w:type="dxa"/>
          </w:tcPr>
          <w:p w14:paraId="35001E56" w14:textId="3F123D25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  <w:tc>
          <w:tcPr>
            <w:tcW w:w="1134" w:type="dxa"/>
          </w:tcPr>
          <w:p w14:paraId="609897D7" w14:textId="2861D163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</w:tr>
      <w:tr w:rsidR="00536356" w:rsidRPr="00536356" w14:paraId="23C9278F" w14:textId="77777777" w:rsidTr="00536356">
        <w:trPr>
          <w:trHeight w:val="328"/>
        </w:trPr>
        <w:tc>
          <w:tcPr>
            <w:tcW w:w="7083" w:type="dxa"/>
          </w:tcPr>
          <w:p w14:paraId="567C0DC3" w14:textId="77777777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36356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>Grenzen im Hinblick auf Leistungs- und Verhaltenskontrolle definiert</w:t>
            </w:r>
          </w:p>
        </w:tc>
        <w:tc>
          <w:tcPr>
            <w:tcW w:w="992" w:type="dxa"/>
          </w:tcPr>
          <w:p w14:paraId="7028D498" w14:textId="66B3D188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  <w:tc>
          <w:tcPr>
            <w:tcW w:w="1134" w:type="dxa"/>
          </w:tcPr>
          <w:p w14:paraId="6970B47E" w14:textId="3894C87D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</w:tr>
      <w:tr w:rsidR="00536356" w:rsidRPr="00536356" w14:paraId="7BFB55DB" w14:textId="77777777" w:rsidTr="00536356">
        <w:trPr>
          <w:trHeight w:val="328"/>
        </w:trPr>
        <w:tc>
          <w:tcPr>
            <w:tcW w:w="7083" w:type="dxa"/>
          </w:tcPr>
          <w:p w14:paraId="76FF4DFF" w14:textId="77777777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36356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>Schnittstellen zu anderen Systemen benannt</w:t>
            </w:r>
          </w:p>
        </w:tc>
        <w:tc>
          <w:tcPr>
            <w:tcW w:w="992" w:type="dxa"/>
          </w:tcPr>
          <w:p w14:paraId="3B60208E" w14:textId="23B34014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  <w:tc>
          <w:tcPr>
            <w:tcW w:w="1134" w:type="dxa"/>
          </w:tcPr>
          <w:p w14:paraId="71CDB73B" w14:textId="6337A9D5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</w:tr>
      <w:tr w:rsidR="00536356" w:rsidRPr="00536356" w14:paraId="6FEFD166" w14:textId="77777777" w:rsidTr="00536356">
        <w:trPr>
          <w:trHeight w:val="328"/>
        </w:trPr>
        <w:tc>
          <w:tcPr>
            <w:tcW w:w="7083" w:type="dxa"/>
          </w:tcPr>
          <w:p w14:paraId="7419A353" w14:textId="77777777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36356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>Löschkonzept und Fristen bekannt</w:t>
            </w:r>
          </w:p>
        </w:tc>
        <w:tc>
          <w:tcPr>
            <w:tcW w:w="992" w:type="dxa"/>
          </w:tcPr>
          <w:p w14:paraId="169B8F3B" w14:textId="34DBBA58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  <w:tc>
          <w:tcPr>
            <w:tcW w:w="1134" w:type="dxa"/>
          </w:tcPr>
          <w:p w14:paraId="68D28972" w14:textId="4F5B2B0B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</w:tr>
      <w:tr w:rsidR="00536356" w:rsidRPr="00536356" w14:paraId="35DA4B32" w14:textId="77777777" w:rsidTr="00536356">
        <w:trPr>
          <w:trHeight w:val="328"/>
        </w:trPr>
        <w:tc>
          <w:tcPr>
            <w:tcW w:w="7083" w:type="dxa"/>
          </w:tcPr>
          <w:p w14:paraId="5E4120FA" w14:textId="77777777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36356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>Kontrollrechte der Beschäftigtenvertretung definiert</w:t>
            </w:r>
          </w:p>
        </w:tc>
        <w:tc>
          <w:tcPr>
            <w:tcW w:w="992" w:type="dxa"/>
          </w:tcPr>
          <w:p w14:paraId="039AF875" w14:textId="4A427688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  <w:tc>
          <w:tcPr>
            <w:tcW w:w="1134" w:type="dxa"/>
          </w:tcPr>
          <w:p w14:paraId="6B3A479D" w14:textId="4FF7C362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</w:tr>
      <w:tr w:rsidR="00536356" w:rsidRPr="00536356" w14:paraId="21053905" w14:textId="77777777" w:rsidTr="00536356">
        <w:trPr>
          <w:trHeight w:val="328"/>
        </w:trPr>
        <w:tc>
          <w:tcPr>
            <w:tcW w:w="7083" w:type="dxa"/>
          </w:tcPr>
          <w:p w14:paraId="12838C11" w14:textId="77777777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36356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>Sachverständige bei Bedarf berufen</w:t>
            </w:r>
          </w:p>
        </w:tc>
        <w:tc>
          <w:tcPr>
            <w:tcW w:w="992" w:type="dxa"/>
          </w:tcPr>
          <w:p w14:paraId="5BA125EA" w14:textId="3D46D176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  <w:tc>
          <w:tcPr>
            <w:tcW w:w="1134" w:type="dxa"/>
          </w:tcPr>
          <w:p w14:paraId="5038759F" w14:textId="53225DBC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</w:tr>
      <w:tr w:rsidR="00536356" w:rsidRPr="00536356" w14:paraId="54E440B7" w14:textId="77777777" w:rsidTr="00536356">
        <w:trPr>
          <w:trHeight w:val="328"/>
        </w:trPr>
        <w:tc>
          <w:tcPr>
            <w:tcW w:w="7083" w:type="dxa"/>
          </w:tcPr>
          <w:p w14:paraId="606929A4" w14:textId="77777777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36356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>Schulungsansprüche sowohl der Beschäftigtenvertretung als auch der Arbeitnehmerinnen und Arbeitnehmer festgehalten</w:t>
            </w:r>
          </w:p>
        </w:tc>
        <w:tc>
          <w:tcPr>
            <w:tcW w:w="992" w:type="dxa"/>
          </w:tcPr>
          <w:p w14:paraId="3D6F5497" w14:textId="165C1095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  <w:tc>
          <w:tcPr>
            <w:tcW w:w="1134" w:type="dxa"/>
          </w:tcPr>
          <w:p w14:paraId="730D00CA" w14:textId="1FAFAA9B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</w:tr>
      <w:tr w:rsidR="00536356" w:rsidRPr="00536356" w14:paraId="2599C92D" w14:textId="77777777" w:rsidTr="00536356">
        <w:trPr>
          <w:trHeight w:val="328"/>
        </w:trPr>
        <w:tc>
          <w:tcPr>
            <w:tcW w:w="7083" w:type="dxa"/>
          </w:tcPr>
          <w:p w14:paraId="53938592" w14:textId="77777777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36356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>Verfahren bei Änderungen am System festgelegt</w:t>
            </w:r>
          </w:p>
        </w:tc>
        <w:tc>
          <w:tcPr>
            <w:tcW w:w="992" w:type="dxa"/>
          </w:tcPr>
          <w:p w14:paraId="5D780AC1" w14:textId="33CEC3F3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  <w:tc>
          <w:tcPr>
            <w:tcW w:w="1134" w:type="dxa"/>
          </w:tcPr>
          <w:p w14:paraId="61416A59" w14:textId="1D88121F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</w:tr>
      <w:tr w:rsidR="00536356" w:rsidRPr="00536356" w14:paraId="17E0BEE7" w14:textId="77777777" w:rsidTr="00536356">
        <w:trPr>
          <w:trHeight w:val="328"/>
        </w:trPr>
        <w:tc>
          <w:tcPr>
            <w:tcW w:w="7083" w:type="dxa"/>
          </w:tcPr>
          <w:p w14:paraId="17C78BF5" w14:textId="77777777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36356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>Rechte der Arbeitnehmerinnen und Arbeitnehmer nach DSGVO benannt</w:t>
            </w:r>
          </w:p>
        </w:tc>
        <w:tc>
          <w:tcPr>
            <w:tcW w:w="992" w:type="dxa"/>
          </w:tcPr>
          <w:p w14:paraId="5D50E9DA" w14:textId="1B57C847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  <w:tc>
          <w:tcPr>
            <w:tcW w:w="1134" w:type="dxa"/>
          </w:tcPr>
          <w:p w14:paraId="042844B6" w14:textId="688E460C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</w:tr>
      <w:tr w:rsidR="00536356" w:rsidRPr="00536356" w14:paraId="3EBC861B" w14:textId="77777777" w:rsidTr="00536356">
        <w:trPr>
          <w:trHeight w:val="328"/>
        </w:trPr>
        <w:tc>
          <w:tcPr>
            <w:tcW w:w="7083" w:type="dxa"/>
          </w:tcPr>
          <w:p w14:paraId="24087405" w14:textId="77777777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36356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>Klärung zum Verfahren bei Meinungsverschiedenheiten und Auseinandersetzungen festgelegt</w:t>
            </w:r>
          </w:p>
        </w:tc>
        <w:tc>
          <w:tcPr>
            <w:tcW w:w="992" w:type="dxa"/>
          </w:tcPr>
          <w:p w14:paraId="73579DF5" w14:textId="78EEE8DE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  <w:tc>
          <w:tcPr>
            <w:tcW w:w="1134" w:type="dxa"/>
          </w:tcPr>
          <w:p w14:paraId="0353BE69" w14:textId="439A73D8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</w:tr>
      <w:tr w:rsidR="00536356" w:rsidRPr="00536356" w14:paraId="078D601F" w14:textId="77777777" w:rsidTr="00536356">
        <w:trPr>
          <w:trHeight w:val="328"/>
        </w:trPr>
        <w:tc>
          <w:tcPr>
            <w:tcW w:w="7083" w:type="dxa"/>
          </w:tcPr>
          <w:p w14:paraId="617189FC" w14:textId="77777777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 w:rsidRPr="00536356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>Schlussbestimmungen hinzugefügt</w:t>
            </w:r>
          </w:p>
        </w:tc>
        <w:tc>
          <w:tcPr>
            <w:tcW w:w="992" w:type="dxa"/>
          </w:tcPr>
          <w:p w14:paraId="5BC760A9" w14:textId="163599F6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  <w:tc>
          <w:tcPr>
            <w:tcW w:w="1134" w:type="dxa"/>
          </w:tcPr>
          <w:p w14:paraId="0AD4249D" w14:textId="041C58AA" w:rsidR="00536356" w:rsidRPr="00536356" w:rsidRDefault="00536356" w:rsidP="00536356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Apple Color Emoji" w:hAnsi="Apple Color Emoji" w:cstheme="majorHAnsi"/>
                <w:color w:val="000000" w:themeColor="text1"/>
                <w:kern w:val="0"/>
                <w:sz w:val="18"/>
                <w:szCs w:val="18"/>
              </w:rPr>
              <w:t>🔲</w:t>
            </w:r>
          </w:p>
        </w:tc>
      </w:tr>
    </w:tbl>
    <w:p w14:paraId="1294C3FE" w14:textId="77777777" w:rsidR="00572DD9" w:rsidRPr="00536356" w:rsidRDefault="00572DD9" w:rsidP="00536356">
      <w:pPr>
        <w:rPr>
          <w:rFonts w:asciiTheme="majorHAnsi" w:hAnsiTheme="majorHAnsi" w:cstheme="majorHAnsi"/>
        </w:rPr>
      </w:pPr>
    </w:p>
    <w:sectPr w:rsidR="00572DD9" w:rsidRPr="0053635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063"/>
    <w:rsid w:val="0003048A"/>
    <w:rsid w:val="00162771"/>
    <w:rsid w:val="00165B89"/>
    <w:rsid w:val="001B12EE"/>
    <w:rsid w:val="0032644E"/>
    <w:rsid w:val="00536356"/>
    <w:rsid w:val="00572DD9"/>
    <w:rsid w:val="005E645B"/>
    <w:rsid w:val="00630A47"/>
    <w:rsid w:val="00775B93"/>
    <w:rsid w:val="007C3C53"/>
    <w:rsid w:val="009C3F35"/>
    <w:rsid w:val="00C04063"/>
    <w:rsid w:val="00C24957"/>
    <w:rsid w:val="00D6436E"/>
    <w:rsid w:val="00DC404A"/>
    <w:rsid w:val="00F7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5BF4A"/>
  <w15:chartTrackingRefBased/>
  <w15:docId w15:val="{EB8CC655-C499-0146-94D8-01DECFAAA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4063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04063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04063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04063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04063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04063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04063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04063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04063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04063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040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040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040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04063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04063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0406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0406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0406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0406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040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040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04063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040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04063"/>
    <w:pPr>
      <w:spacing w:before="160" w:line="240" w:lineRule="auto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0406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04063"/>
    <w:pPr>
      <w:spacing w:after="0" w:line="240" w:lineRule="auto"/>
      <w:ind w:left="720"/>
      <w:contextualSpacing/>
    </w:pPr>
    <w:rPr>
      <w:rFonts w:eastAsiaTheme="minorHAnsi"/>
    </w:rPr>
  </w:style>
  <w:style w:type="character" w:styleId="IntensiveHervorhebung">
    <w:name w:val="Intense Emphasis"/>
    <w:basedOn w:val="Absatz-Standardschriftart"/>
    <w:uiPriority w:val="21"/>
    <w:qFormat/>
    <w:rsid w:val="00C04063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040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04063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04063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C040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892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LiV - Lisa Vogl</cp:lastModifiedBy>
  <cp:revision>3</cp:revision>
  <dcterms:created xsi:type="dcterms:W3CDTF">2026-07-26T12:57:00Z</dcterms:created>
  <dcterms:modified xsi:type="dcterms:W3CDTF">2026-08-11T13:04:00Z</dcterms:modified>
</cp:coreProperties>
</file>